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B8" w:rsidRPr="00052AFB" w:rsidRDefault="00F44DF9" w:rsidP="00BD440E">
      <w:pPr>
        <w:ind w:right="180"/>
        <w:rPr>
          <w:szCs w:val="20"/>
        </w:rPr>
      </w:pPr>
      <w:bookmarkStart w:id="0" w:name="_GoBack"/>
      <w:bookmarkEnd w:id="0"/>
      <w:r w:rsidRPr="00052AFB">
        <w:rPr>
          <w:noProof/>
          <w:szCs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7620000</wp:posOffset>
            </wp:positionV>
            <wp:extent cx="1645923" cy="1120142"/>
            <wp:effectExtent l="0" t="0" r="0" b="0"/>
            <wp:wrapNone/>
            <wp:docPr id="100012" name="Picture 100012" descr="Brok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F54" w:rsidRPr="00052AFB" w:rsidRDefault="00F44DF9" w:rsidP="00BD440E">
      <w:pPr>
        <w:ind w:right="180"/>
        <w:rPr>
          <w:szCs w:val="20"/>
        </w:rPr>
      </w:pPr>
    </w:p>
    <w:p w:rsidR="00EC6F54" w:rsidRPr="00052AFB" w:rsidRDefault="00F44DF9" w:rsidP="00BD440E">
      <w:pPr>
        <w:ind w:right="180"/>
        <w:rPr>
          <w:szCs w:val="20"/>
        </w:rPr>
      </w:pPr>
    </w:p>
    <w:p w:rsidR="00EC6F54" w:rsidRPr="002D789F" w:rsidRDefault="00F44DF9" w:rsidP="00BD440E">
      <w:pPr>
        <w:ind w:right="180"/>
        <w:rPr>
          <w:szCs w:val="20"/>
        </w:rPr>
      </w:pPr>
    </w:p>
    <w:p w:rsidR="00EC6F54" w:rsidRPr="00052AFB" w:rsidRDefault="00F44DF9" w:rsidP="00BD440E">
      <w:pPr>
        <w:ind w:right="180"/>
        <w:rPr>
          <w:szCs w:val="20"/>
        </w:rPr>
      </w:pPr>
      <w:r w:rsidRPr="00052A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2169160</wp:posOffset>
                </wp:positionV>
                <wp:extent cx="3749040" cy="42799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2CA" w:rsidRPr="00AC55E8" w:rsidRDefault="00F44DF9" w:rsidP="001244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C55E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Brought to you by the insurance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professionals</w:t>
                            </w:r>
                            <w:r w:rsidRPr="00AC55E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at</w:t>
                            </w:r>
                          </w:p>
                          <w:p w:rsidR="00AD52CA" w:rsidRPr="00AC55E8" w:rsidRDefault="00F44DF9" w:rsidP="001244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C55E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Brown &amp; Brown Empire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5" type="#_x0000_t202" style="height:33.7pt;margin-left:35.7pt;margin-top:170.8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width:295.2pt;z-index:251661312" filled="f" fillcolor="this" stroked="f">
                <v:textbox inset="0,0,0,0">
                  <w:txbxContent>
                    <w:p w:rsidR="00AD52CA" w:rsidRPr="00AC55E8" w:rsidP="001244F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C55E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Brought to you by the insurance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professionals</w:t>
                      </w:r>
                      <w:r w:rsidRPr="00AC55E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at</w:t>
                      </w:r>
                    </w:p>
                    <w:p w:rsidR="00AD52CA" w:rsidRPr="00AC55E8" w:rsidP="001244F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C55E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Brown &amp; Brown Empire State</w:t>
                      </w:r>
                    </w:p>
                  </w:txbxContent>
                </v:textbox>
              </v:shape>
            </w:pict>
          </mc:Fallback>
        </mc:AlternateContent>
      </w:r>
    </w:p>
    <w:p w:rsidR="00EC6F54" w:rsidRPr="00052AFB" w:rsidRDefault="00F44DF9" w:rsidP="00BD440E">
      <w:pPr>
        <w:ind w:right="180"/>
        <w:rPr>
          <w:szCs w:val="20"/>
        </w:rPr>
      </w:pPr>
    </w:p>
    <w:p w:rsidR="00AE614B" w:rsidRPr="00052AFB" w:rsidRDefault="00F44DF9" w:rsidP="00BD440E">
      <w:pPr>
        <w:ind w:right="180"/>
        <w:rPr>
          <w:szCs w:val="20"/>
        </w:rPr>
      </w:pPr>
    </w:p>
    <w:p w:rsidR="00EC6F54" w:rsidRPr="00052AFB" w:rsidRDefault="00F44DF9" w:rsidP="00BD440E">
      <w:pPr>
        <w:ind w:right="180"/>
        <w:rPr>
          <w:szCs w:val="20"/>
        </w:rPr>
      </w:pPr>
      <w:r w:rsidRPr="00052A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246380</wp:posOffset>
                </wp:positionV>
                <wp:extent cx="2187575" cy="550100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550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52CA" w:rsidRPr="0022080D" w:rsidRDefault="00F44DF9" w:rsidP="0022080D">
                            <w:pPr>
                              <w:pStyle w:val="Sidebar"/>
                            </w:pPr>
                            <w:r>
                              <w:rPr>
                                <w:rStyle w:val="SidebarChar"/>
                                <w:b/>
                                <w:i/>
                              </w:rPr>
                              <w:t xml:space="preserve">Did you know </w:t>
                            </w:r>
                            <w:r w:rsidRPr="000E7575">
                              <w:rPr>
                                <w:rStyle w:val="SidebarChar"/>
                                <w:b/>
                                <w:i/>
                              </w:rPr>
                              <w:t>95 percent of managers are dissatisfied with their company’s performance review process</w:t>
                            </w:r>
                            <w:r>
                              <w:rPr>
                                <w:rStyle w:val="SidebarChar"/>
                                <w:b/>
                                <w:i/>
                              </w:rPr>
                              <w:t xml:space="preserve">, according to a CEB study?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2" o:spid="_x0000_s1026" type="#_x0000_t202" style="height:433.15pt;margin-left:379.85pt;margin-top:19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72.25pt;z-index:251660288" filled="f" stroked="f" strokeweight="0.5pt">
                <v:path arrowok="t" textboxrect="0,0,21600,21600"/>
                <v:textbox>
                  <w:txbxContent>
                    <w:p w:rsidR="00AD52CA" w:rsidRPr="0022080D" w:rsidP="0022080D">
                      <w:pPr>
                        <w:pStyle w:val="Sidebar"/>
                      </w:pPr>
                      <w:r>
                        <w:rPr>
                          <w:rStyle w:val="SidebarChar"/>
                          <w:b/>
                          <w:i/>
                        </w:rPr>
                        <w:t xml:space="preserve">Did you know </w:t>
                      </w:r>
                      <w:r w:rsidRPr="000E7575">
                        <w:rPr>
                          <w:rStyle w:val="SidebarChar"/>
                          <w:b/>
                          <w:i/>
                        </w:rPr>
                        <w:t>95 percent of managers are dissatisfied with their company’s performance review process</w:t>
                      </w:r>
                      <w:r>
                        <w:rPr>
                          <w:rStyle w:val="SidebarChar"/>
                          <w:b/>
                          <w:i/>
                        </w:rPr>
                        <w:t xml:space="preserve">, according to a CEB study? </w:t>
                      </w:r>
                    </w:p>
                  </w:txbxContent>
                </v:textbox>
              </v:shape>
            </w:pict>
          </mc:Fallback>
        </mc:AlternateContent>
      </w:r>
    </w:p>
    <w:p w:rsidR="00E16A12" w:rsidRPr="002D789F" w:rsidRDefault="00F44DF9" w:rsidP="00B75FD1">
      <w:pPr>
        <w:pStyle w:val="Title"/>
        <w:spacing w:after="240"/>
        <w:rPr>
          <w:vertAlign w:val="subscript"/>
        </w:rPr>
      </w:pPr>
      <w:r>
        <w:t xml:space="preserve">Frequent Check-ins: Rethinking </w:t>
      </w:r>
      <w:r>
        <w:t>Performance Reviews</w:t>
      </w:r>
    </w:p>
    <w:p w:rsidR="00B75FD1" w:rsidRDefault="00F44DF9" w:rsidP="00B75FD1">
      <w:pPr>
        <w:ind w:right="180"/>
        <w:rPr>
          <w:sz w:val="20"/>
          <w:szCs w:val="20"/>
        </w:rPr>
      </w:pPr>
      <w:r>
        <w:rPr>
          <w:sz w:val="20"/>
          <w:szCs w:val="20"/>
        </w:rPr>
        <w:t>It’s no secret that employees and employers alike have reservations about annual performance reviews. Some employees view them as a waste of time and many employers find it difficult to argue against that. According to management resear</w:t>
      </w:r>
      <w:r>
        <w:rPr>
          <w:sz w:val="20"/>
          <w:szCs w:val="20"/>
        </w:rPr>
        <w:t>ch firm CEB, 42 percent of employees consider annual reviews ineffective</w:t>
      </w:r>
      <w:r>
        <w:rPr>
          <w:sz w:val="20"/>
          <w:szCs w:val="20"/>
        </w:rPr>
        <w:t>, mainly due to the feedback coming at the end of the year when it has almost no relevance</w:t>
      </w:r>
      <w:r>
        <w:rPr>
          <w:sz w:val="20"/>
          <w:szCs w:val="20"/>
        </w:rPr>
        <w:t>. What’s more, 95 percent of managers are dissatisfied with their company’s performance review</w:t>
      </w:r>
      <w:r>
        <w:rPr>
          <w:sz w:val="20"/>
          <w:szCs w:val="20"/>
        </w:rPr>
        <w:t xml:space="preserve"> process</w:t>
      </w:r>
      <w:r>
        <w:rPr>
          <w:sz w:val="20"/>
          <w:szCs w:val="20"/>
        </w:rPr>
        <w:t>, too</w:t>
      </w:r>
      <w:r>
        <w:rPr>
          <w:sz w:val="20"/>
          <w:szCs w:val="20"/>
        </w:rPr>
        <w:t xml:space="preserve">, according to the same study. </w:t>
      </w:r>
    </w:p>
    <w:p w:rsidR="002D789F" w:rsidRDefault="00F44DF9" w:rsidP="002D789F">
      <w:pPr>
        <w:pStyle w:val="Heading2"/>
      </w:pPr>
      <w:r>
        <w:t>How Reviews Have Evolved</w:t>
      </w:r>
    </w:p>
    <w:p w:rsidR="00AD52CA" w:rsidRDefault="00F44DF9" w:rsidP="00B75FD1">
      <w:pPr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The shift from praising annual reviews to loathing them has </w:t>
      </w:r>
      <w:r w:rsidRPr="009976A0">
        <w:rPr>
          <w:sz w:val="20"/>
          <w:szCs w:val="20"/>
        </w:rPr>
        <w:t>ebbed</w:t>
      </w:r>
      <w:r>
        <w:rPr>
          <w:sz w:val="20"/>
          <w:szCs w:val="20"/>
        </w:rPr>
        <w:t xml:space="preserve"> into the HR realm </w:t>
      </w:r>
      <w:proofErr w:type="gramStart"/>
      <w:r>
        <w:rPr>
          <w:sz w:val="20"/>
          <w:szCs w:val="20"/>
        </w:rPr>
        <w:t>gradually</w:t>
      </w:r>
      <w:proofErr w:type="gramEnd"/>
      <w:r>
        <w:rPr>
          <w:sz w:val="20"/>
          <w:szCs w:val="20"/>
        </w:rPr>
        <w:t xml:space="preserve"> over the last couple of decades. Modern performance reviews </w:t>
      </w:r>
      <w:r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largely based on the merit </w:t>
      </w:r>
      <w:r>
        <w:rPr>
          <w:sz w:val="20"/>
          <w:szCs w:val="20"/>
        </w:rPr>
        <w:t>system used by the military in World War I</w:t>
      </w:r>
      <w:r>
        <w:rPr>
          <w:sz w:val="20"/>
          <w:szCs w:val="20"/>
        </w:rPr>
        <w:t xml:space="preserve">—a system that has not grown adequately to suit the needs </w:t>
      </w:r>
      <w:r>
        <w:rPr>
          <w:sz w:val="20"/>
          <w:szCs w:val="20"/>
        </w:rPr>
        <w:t xml:space="preserve">of </w:t>
      </w:r>
      <w:r>
        <w:rPr>
          <w:sz w:val="20"/>
          <w:szCs w:val="20"/>
        </w:rPr>
        <w:t>today’s corporate structures. The original idea was that workers were so plentiful that poor performers needed to be identified from efficient workers so</w:t>
      </w:r>
      <w:r>
        <w:rPr>
          <w:sz w:val="20"/>
          <w:szCs w:val="20"/>
        </w:rPr>
        <w:t xml:space="preserve"> the former could be replaced and the latter promoted. </w:t>
      </w:r>
    </w:p>
    <w:p w:rsidR="00E22DFF" w:rsidRDefault="00F44DF9" w:rsidP="00B75FD1">
      <w:pPr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mentality is slowly dying as the labor market tightens up. Employers are now more concerned with coaching poor performers instead of replacing them immediately. Annual reviews are less effective </w:t>
      </w:r>
      <w:r>
        <w:rPr>
          <w:sz w:val="20"/>
          <w:szCs w:val="20"/>
        </w:rPr>
        <w:t>in this regard, since their primary purpose is to hold employees up to a (ty</w:t>
      </w:r>
      <w:r>
        <w:rPr>
          <w:sz w:val="20"/>
          <w:szCs w:val="20"/>
        </w:rPr>
        <w:t>pically) quantitative standard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not to assess granular performance and insert coaching opportunities. That’s where frequent check-ins </w:t>
      </w:r>
      <w:proofErr w:type="gramStart"/>
      <w:r>
        <w:rPr>
          <w:sz w:val="20"/>
          <w:szCs w:val="20"/>
        </w:rPr>
        <w:t>come</w:t>
      </w:r>
      <w:proofErr w:type="gramEnd"/>
      <w:r>
        <w:rPr>
          <w:sz w:val="20"/>
          <w:szCs w:val="20"/>
        </w:rPr>
        <w:t xml:space="preserve"> in.</w:t>
      </w:r>
    </w:p>
    <w:p w:rsidR="00E03B96" w:rsidRDefault="00F44DF9" w:rsidP="000E7575">
      <w:pPr>
        <w:pStyle w:val="Heading2"/>
      </w:pPr>
      <w:r>
        <w:t>What is a Frequent Check-in?</w:t>
      </w:r>
    </w:p>
    <w:p w:rsidR="00E03B96" w:rsidRDefault="00F44DF9" w:rsidP="00B75FD1">
      <w:pPr>
        <w:ind w:right="180"/>
        <w:rPr>
          <w:sz w:val="20"/>
          <w:szCs w:val="20"/>
        </w:rPr>
      </w:pPr>
      <w:r>
        <w:rPr>
          <w:sz w:val="20"/>
          <w:szCs w:val="20"/>
        </w:rPr>
        <w:t>Think of</w:t>
      </w:r>
      <w:r>
        <w:rPr>
          <w:sz w:val="20"/>
          <w:szCs w:val="20"/>
        </w:rPr>
        <w:t xml:space="preserve"> frequent check-ins as microscopic evaluations. In this process, managers evaluate employee performance periodically throughout the year, not just at its end. Managers are checking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 on employee p</w:t>
      </w:r>
      <w:r>
        <w:rPr>
          <w:sz w:val="20"/>
          <w:szCs w:val="20"/>
        </w:rPr>
        <w:t xml:space="preserve">erformance as it happens, not giving </w:t>
      </w:r>
      <w:proofErr w:type="gramStart"/>
      <w:r>
        <w:rPr>
          <w:sz w:val="20"/>
          <w:szCs w:val="20"/>
        </w:rPr>
        <w:t>a rating months</w:t>
      </w:r>
      <w:proofErr w:type="gramEnd"/>
      <w:r>
        <w:rPr>
          <w:sz w:val="20"/>
          <w:szCs w:val="20"/>
        </w:rPr>
        <w:t xml:space="preserve"> later.</w:t>
      </w:r>
    </w:p>
    <w:p w:rsidR="00BA01E9" w:rsidRDefault="00F44DF9" w:rsidP="00B75FD1">
      <w:pPr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Employees can, and should, still set attainable goals for themselves each year related to their performance, but examining that growth annually </w:t>
      </w:r>
      <w:r>
        <w:rPr>
          <w:sz w:val="20"/>
          <w:szCs w:val="20"/>
        </w:rPr>
        <w:t xml:space="preserve">may do </w:t>
      </w:r>
      <w:r>
        <w:rPr>
          <w:sz w:val="20"/>
          <w:szCs w:val="20"/>
        </w:rPr>
        <w:t>them a disservice. Frequent check-ins (think month</w:t>
      </w:r>
      <w:r>
        <w:rPr>
          <w:sz w:val="20"/>
          <w:szCs w:val="20"/>
        </w:rPr>
        <w:t>ly or biweekly) allow</w:t>
      </w:r>
      <w:r>
        <w:rPr>
          <w:sz w:val="20"/>
          <w:szCs w:val="20"/>
        </w:rPr>
        <w:t xml:space="preserve"> employers the chance to nip any </w:t>
      </w:r>
      <w:r>
        <w:rPr>
          <w:sz w:val="20"/>
          <w:szCs w:val="20"/>
        </w:rPr>
        <w:t xml:space="preserve">emerging issues in the bud and </w:t>
      </w:r>
      <w:r>
        <w:rPr>
          <w:sz w:val="20"/>
          <w:szCs w:val="20"/>
        </w:rPr>
        <w:t xml:space="preserve">lets </w:t>
      </w:r>
      <w:r>
        <w:rPr>
          <w:sz w:val="20"/>
          <w:szCs w:val="20"/>
        </w:rPr>
        <w:t>employees receive that coaching when it’</w:t>
      </w:r>
      <w:r>
        <w:rPr>
          <w:sz w:val="20"/>
          <w:szCs w:val="20"/>
        </w:rPr>
        <w:t xml:space="preserve">s actually </w:t>
      </w:r>
      <w:r>
        <w:rPr>
          <w:sz w:val="20"/>
          <w:szCs w:val="20"/>
        </w:rPr>
        <w:lastRenderedPageBreak/>
        <w:t>relevant. Moreover, checking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 with an employee more frequently can build a lasting rapport with the company and strengthen company culture</w:t>
      </w:r>
      <w:r>
        <w:rPr>
          <w:sz w:val="20"/>
          <w:szCs w:val="20"/>
        </w:rPr>
        <w:t>.</w:t>
      </w:r>
    </w:p>
    <w:p w:rsidR="00BA365B" w:rsidRDefault="00F44DF9" w:rsidP="000E7575">
      <w:pPr>
        <w:pStyle w:val="Heading2"/>
      </w:pPr>
      <w:r>
        <w:t>How Can I Implement This?</w:t>
      </w:r>
    </w:p>
    <w:p w:rsidR="00571C05" w:rsidRDefault="00F44DF9" w:rsidP="00571C05">
      <w:pPr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Since frequent check-ins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essentially periodic meetings tailored to employee performance, implementation is minimal. To get started, employees should first develop a goal for themselves for the year. It could be related to performance or some other aspe</w:t>
      </w:r>
      <w:r>
        <w:rPr>
          <w:sz w:val="20"/>
          <w:szCs w:val="20"/>
        </w:rPr>
        <w:t xml:space="preserve">ct that’s important to your company, like growing a particular skill. </w:t>
      </w:r>
      <w:r>
        <w:rPr>
          <w:sz w:val="20"/>
          <w:szCs w:val="20"/>
        </w:rPr>
        <w:t>Next, man</w:t>
      </w:r>
      <w:r>
        <w:rPr>
          <w:sz w:val="20"/>
          <w:szCs w:val="20"/>
        </w:rPr>
        <w:t>a</w:t>
      </w:r>
      <w:r>
        <w:rPr>
          <w:sz w:val="20"/>
          <w:szCs w:val="20"/>
        </w:rPr>
        <w:t>gers should schedule individual meetings at set intervals throughout the year to check in on the progress of the goals. The meetings are also an opportunity for employees to re</w:t>
      </w:r>
      <w:r>
        <w:rPr>
          <w:sz w:val="20"/>
          <w:szCs w:val="20"/>
        </w:rPr>
        <w:t xml:space="preserve">ceive feedback in any areas where they’ve fallen short, like not achieving a goal milestone on time. </w:t>
      </w:r>
    </w:p>
    <w:p w:rsidR="000E7575" w:rsidRDefault="00F44DF9" w:rsidP="000E7575">
      <w:pPr>
        <w:pStyle w:val="Heading2"/>
      </w:pPr>
      <w:r>
        <w:t>Summary</w:t>
      </w:r>
    </w:p>
    <w:p w:rsidR="001C23FB" w:rsidRDefault="00F44DF9" w:rsidP="00571C05">
      <w:pPr>
        <w:ind w:right="180"/>
        <w:rPr>
          <w:sz w:val="20"/>
          <w:szCs w:val="20"/>
        </w:rPr>
      </w:pPr>
      <w:r>
        <w:rPr>
          <w:sz w:val="20"/>
          <w:szCs w:val="20"/>
        </w:rPr>
        <w:t>Frequent check-ins might not be the best option for your business, but having</w:t>
      </w:r>
      <w:r>
        <w:rPr>
          <w:sz w:val="20"/>
          <w:szCs w:val="20"/>
        </w:rPr>
        <w:t xml:space="preserve"> even a few meetings before an annual review could improve employee growth and rapport. </w:t>
      </w:r>
      <w:proofErr w:type="gramStart"/>
      <w:r>
        <w:rPr>
          <w:sz w:val="20"/>
          <w:szCs w:val="20"/>
        </w:rPr>
        <w:t>These</w:t>
      </w:r>
      <w:proofErr w:type="gramEnd"/>
      <w:r>
        <w:rPr>
          <w:sz w:val="20"/>
          <w:szCs w:val="20"/>
        </w:rPr>
        <w:t xml:space="preserve"> check-ins, which are often paired with a final annual review, show employees that you care enough about their development to give them time to discuss it througho</w:t>
      </w:r>
      <w:r>
        <w:rPr>
          <w:sz w:val="20"/>
          <w:szCs w:val="20"/>
        </w:rPr>
        <w:t xml:space="preserve">ut the year. </w:t>
      </w:r>
    </w:p>
    <w:p w:rsidR="000E7575" w:rsidRDefault="00F44DF9" w:rsidP="00571C05">
      <w:pPr>
        <w:ind w:right="180"/>
        <w:rPr>
          <w:sz w:val="20"/>
          <w:szCs w:val="20"/>
        </w:rPr>
      </w:pPr>
      <w:r>
        <w:rPr>
          <w:sz w:val="20"/>
          <w:szCs w:val="20"/>
        </w:rPr>
        <w:t>On average, you spend around 260 days at work</w:t>
      </w:r>
      <w:r>
        <w:rPr>
          <w:sz w:val="20"/>
          <w:szCs w:val="20"/>
        </w:rPr>
        <w:t xml:space="preserve"> each year</w:t>
      </w:r>
      <w:r>
        <w:rPr>
          <w:sz w:val="20"/>
          <w:szCs w:val="20"/>
        </w:rPr>
        <w:t xml:space="preserve">. As an employee, wouldn’t you want your manager to take an interest in your development more than just once a year? </w:t>
      </w:r>
    </w:p>
    <w:p w:rsidR="00F21A60" w:rsidRPr="00052AFB" w:rsidRDefault="00F44DF9" w:rsidP="00571C05">
      <w:pPr>
        <w:ind w:right="180"/>
        <w:rPr>
          <w:sz w:val="20"/>
          <w:szCs w:val="20"/>
        </w:rPr>
      </w:pPr>
      <w:r>
        <w:rPr>
          <w:sz w:val="20"/>
          <w:szCs w:val="20"/>
        </w:rPr>
        <w:t>Reach out to your Brown &amp; Brown Empire State representative to reques</w:t>
      </w:r>
      <w:r>
        <w:rPr>
          <w:sz w:val="20"/>
          <w:szCs w:val="20"/>
        </w:rPr>
        <w:t>t a full version of our toolkit on performance reviews.</w:t>
      </w:r>
    </w:p>
    <w:sectPr w:rsidR="00F21A60" w:rsidRPr="00052AFB" w:rsidSect="00C15712">
      <w:headerReference w:type="default" r:id="rId9"/>
      <w:headerReference w:type="first" r:id="rId10"/>
      <w:footerReference w:type="first" r:id="rId11"/>
      <w:pgSz w:w="12240" w:h="15840"/>
      <w:pgMar w:top="1440" w:right="41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4DF9">
      <w:pPr>
        <w:spacing w:after="0" w:line="240" w:lineRule="auto"/>
      </w:pPr>
      <w:r>
        <w:separator/>
      </w:r>
    </w:p>
  </w:endnote>
  <w:endnote w:type="continuationSeparator" w:id="0">
    <w:p w:rsidR="00000000" w:rsidRDefault="00F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A" w:rsidRDefault="00F44DF9">
    <w:pPr>
      <w:pStyle w:val="Footer"/>
    </w:pPr>
    <w:r>
      <w:rPr>
        <w:noProof/>
      </w:rPr>
      <mc:AlternateContent>
        <mc:Choice Requires="wps">
          <w:drawing>
            <wp:anchor distT="91440" distB="91440" distL="91440" distR="91440" simplePos="0" relativeHeight="251660288" behindDoc="0" locked="0" layoutInCell="1" allowOverlap="1">
              <wp:simplePos x="0" y="0"/>
              <wp:positionH relativeFrom="margin">
                <wp:posOffset>139065</wp:posOffset>
              </wp:positionH>
              <wp:positionV relativeFrom="margin">
                <wp:posOffset>8706485</wp:posOffset>
              </wp:positionV>
              <wp:extent cx="3808730" cy="389890"/>
              <wp:effectExtent l="0" t="635" r="0" b="0"/>
              <wp:wrapNone/>
              <wp:docPr id="1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73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2CA" w:rsidRPr="001C7672" w:rsidRDefault="00F44DF9" w:rsidP="00052AFB">
                          <w:pPr>
                            <w:rPr>
                              <w:color w:val="FFFFFF"/>
                              <w:sz w:val="12"/>
                              <w:szCs w:val="12"/>
                            </w:rPr>
                          </w:pPr>
                          <w:r w:rsidRPr="001C7672">
                            <w:rPr>
                              <w:rFonts w:ascii="Arial" w:hAnsi="Arial" w:cs="Arial"/>
                              <w:b/>
                              <w:color w:val="FFFFFF"/>
                              <w:sz w:val="12"/>
                              <w:szCs w:val="12"/>
                            </w:rPr>
                            <w:t>This HR Insights is not intended to be exhaustive nor should any discussion or opinions be construed as professional advi</w:t>
                          </w:r>
                          <w:r w:rsidRPr="001C7672">
                            <w:rPr>
                              <w:rFonts w:ascii="Arial" w:hAnsi="Arial" w:cs="Arial"/>
                              <w:b/>
                              <w:color w:val="FFFFFF"/>
                              <w:sz w:val="12"/>
                              <w:szCs w:val="12"/>
                            </w:rPr>
                            <w:t>ce.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2"/>
                              <w:szCs w:val="12"/>
                            </w:rPr>
                            <w:t xml:space="preserve"> © 2018</w:t>
                          </w:r>
                          <w:r w:rsidRPr="001C7672">
                            <w:rPr>
                              <w:rFonts w:ascii="Arial" w:hAnsi="Arial" w:cs="Arial"/>
                              <w:b/>
                              <w:color w:val="FFFFFF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1C7672">
                            <w:rPr>
                              <w:rFonts w:ascii="Arial" w:hAnsi="Arial" w:cs="Arial"/>
                              <w:b/>
                              <w:color w:val="FFFFFF"/>
                              <w:sz w:val="12"/>
                              <w:szCs w:val="12"/>
                            </w:rPr>
                            <w:t>Zywave</w:t>
                          </w:r>
                          <w:proofErr w:type="spellEnd"/>
                          <w:r w:rsidRPr="001C7672">
                            <w:rPr>
                              <w:rFonts w:ascii="Arial" w:hAnsi="Arial" w:cs="Arial"/>
                              <w:b/>
                              <w:color w:val="FFFFFF"/>
                              <w:sz w:val="12"/>
                              <w:szCs w:val="12"/>
                            </w:rPr>
                            <w:t>, Inc. All rights reserved.</w:t>
                          </w:r>
                        </w:p>
                        <w:p w:rsidR="00AD52CA" w:rsidRPr="004B5268" w:rsidRDefault="00F44DF9" w:rsidP="00052AFB"/>
                        <w:p w:rsidR="00AD52CA" w:rsidRPr="004B5268" w:rsidRDefault="00F44DF9">
                          <w:pPr>
                            <w:pStyle w:val="NoSpacing"/>
                            <w:ind w:left="36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2050" type="#_x0000_t202" style="height:30.7pt;margin-left:10.95pt;margin-top:685.55pt;mso-height-percent:0;mso-height-relative:margin;mso-position-horizontal-relative:margin;mso-position-vertical-relative:margin;mso-width-percent:0;mso-width-relative:margin;mso-wrap-distance-bottom:7.2pt;mso-wrap-distance-left:7.2pt;mso-wrap-distance-right:7.2pt;mso-wrap-distance-top:7.2pt;mso-wrap-style:square;position:absolute;v-text-anchor:top;visibility:visible;width:299.9pt;z-index:251661312" filled="f" stroked="f" strokeweight="0.5pt">
              <v:textbox inset=",7.2pt,,7.2pt">
                <w:txbxContent>
                  <w:p w:rsidR="00AD52CA" w:rsidRPr="001C7672" w:rsidP="00052AFB">
                    <w:pPr>
                      <w:rPr>
                        <w:color w:val="FFFFFF"/>
                        <w:sz w:val="12"/>
                        <w:szCs w:val="12"/>
                      </w:rPr>
                    </w:pPr>
                    <w:r w:rsidRPr="001C7672">
                      <w:rPr>
                        <w:rFonts w:ascii="Arial" w:hAnsi="Arial" w:cs="Arial"/>
                        <w:b/>
                        <w:color w:val="FFFFFF"/>
                        <w:sz w:val="12"/>
                        <w:szCs w:val="12"/>
                      </w:rPr>
                      <w:t>This HR Insights is not intended to be exhaustive nor should any discussion or opinions be construed as professional advice.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2"/>
                        <w:szCs w:val="12"/>
                      </w:rPr>
                      <w:t xml:space="preserve"> © 2018</w:t>
                    </w:r>
                    <w:r w:rsidRPr="001C7672">
                      <w:rPr>
                        <w:rFonts w:ascii="Arial" w:hAnsi="Arial" w:cs="Arial"/>
                        <w:b/>
                        <w:color w:val="FFFFFF"/>
                        <w:sz w:val="12"/>
                        <w:szCs w:val="12"/>
                      </w:rPr>
                      <w:t xml:space="preserve"> Zywave, Inc. All rights reserved.</w:t>
                    </w:r>
                  </w:p>
                  <w:p w:rsidR="00AD52CA" w:rsidRPr="004B5268" w:rsidP="00052AFB"/>
                  <w:p w:rsidR="00AD52CA" w:rsidRPr="004B5268">
                    <w:pPr>
                      <w:pStyle w:val="NoSpacing"/>
                      <w:ind w:left="36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4DF9">
      <w:pPr>
        <w:spacing w:after="0" w:line="240" w:lineRule="auto"/>
      </w:pPr>
      <w:r>
        <w:separator/>
      </w:r>
    </w:p>
  </w:footnote>
  <w:footnote w:type="continuationSeparator" w:id="0">
    <w:p w:rsidR="00000000" w:rsidRDefault="00F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A" w:rsidRDefault="00F44DF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-466725</wp:posOffset>
          </wp:positionH>
          <wp:positionV relativeFrom="margin">
            <wp:posOffset>-914400</wp:posOffset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A" w:rsidRDefault="00F44DF9" w:rsidP="0077291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-452755</wp:posOffset>
          </wp:positionH>
          <wp:positionV relativeFrom="margin">
            <wp:posOffset>-923925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4744720</wp:posOffset>
              </wp:positionH>
              <wp:positionV relativeFrom="paragraph">
                <wp:posOffset>2849880</wp:posOffset>
              </wp:positionV>
              <wp:extent cx="0" cy="5377815"/>
              <wp:effectExtent l="10795" t="11430" r="8255" b="11430"/>
              <wp:wrapNone/>
              <wp:docPr id="2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7781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EB8A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traight Connector 28" o:spid="_x0000_s2049" style="mso-height-percent:0;mso-height-relative:margin;mso-position-horizontal-relative:margin;mso-width-percent:0;mso-width-relative:page;mso-wrap-distance-bottom:0;mso-wrap-distance-left:9pt;mso-wrap-distance-right:9pt;mso-wrap-distance-top:0;mso-wrap-style:square;position:absolute;visibility:visible;z-index:251659264" from="373.6pt,224.4pt" to="373.6pt,647.85pt" strokecolor="#2eb8ab" strokeweight="1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B96"/>
    <w:multiLevelType w:val="multilevel"/>
    <w:tmpl w:val="DA80FE46"/>
    <w:numStyleLink w:val="Bulletedlist"/>
  </w:abstractNum>
  <w:abstractNum w:abstractNumId="1">
    <w:nsid w:val="0B014CCA"/>
    <w:multiLevelType w:val="hybridMultilevel"/>
    <w:tmpl w:val="679E90D8"/>
    <w:lvl w:ilvl="0" w:tplc="57E452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C98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E8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1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AE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8A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8E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E7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08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66EF"/>
    <w:multiLevelType w:val="multilevel"/>
    <w:tmpl w:val="DA80FE46"/>
    <w:numStyleLink w:val="Bulletedlist"/>
  </w:abstractNum>
  <w:abstractNum w:abstractNumId="3">
    <w:nsid w:val="360B12CF"/>
    <w:multiLevelType w:val="multilevel"/>
    <w:tmpl w:val="DA80FE46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B8AB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EB8A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EB8A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A2200"/>
    <w:multiLevelType w:val="multilevel"/>
    <w:tmpl w:val="E2D21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81BB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9"/>
    <w:rsid w:val="00F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229"/>
    <w:pPr>
      <w:spacing w:after="0"/>
      <w:ind w:right="187"/>
      <w:outlineLvl w:val="0"/>
    </w:pPr>
    <w:rPr>
      <w:b/>
      <w:color w:val="228A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80D"/>
    <w:pPr>
      <w:keepNext/>
      <w:keepLines/>
      <w:spacing w:before="40" w:after="0"/>
      <w:outlineLvl w:val="1"/>
    </w:pPr>
    <w:rPr>
      <w:rFonts w:ascii="Calibri Light" w:eastAsia="Times New Roman" w:hAnsi="Calibri Light"/>
      <w:i/>
      <w:color w:val="228A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C5"/>
  </w:style>
  <w:style w:type="paragraph" w:styleId="Footer">
    <w:name w:val="footer"/>
    <w:basedOn w:val="Normal"/>
    <w:link w:val="Foot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C5"/>
  </w:style>
  <w:style w:type="paragraph" w:styleId="Title">
    <w:name w:val="Title"/>
    <w:basedOn w:val="Normal"/>
    <w:next w:val="Normal"/>
    <w:link w:val="TitleChar"/>
    <w:uiPriority w:val="10"/>
    <w:qFormat/>
    <w:rsid w:val="0022080D"/>
    <w:pPr>
      <w:spacing w:after="0" w:line="240" w:lineRule="auto"/>
      <w:contextualSpacing/>
    </w:pPr>
    <w:rPr>
      <w:rFonts w:eastAsia="Times New Roman"/>
      <w:b/>
      <w:color w:val="228A80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22080D"/>
    <w:rPr>
      <w:rFonts w:eastAsia="Times New Roman"/>
      <w:b/>
      <w:color w:val="228A80"/>
      <w:spacing w:val="-10"/>
      <w:kern w:val="28"/>
      <w:sz w:val="40"/>
      <w:szCs w:val="56"/>
    </w:rPr>
  </w:style>
  <w:style w:type="character" w:customStyle="1" w:styleId="Heading1Char">
    <w:name w:val="Heading 1 Char"/>
    <w:link w:val="Heading1"/>
    <w:uiPriority w:val="9"/>
    <w:rsid w:val="00596229"/>
    <w:rPr>
      <w:b/>
      <w:color w:val="228A8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BD440E"/>
    <w:rPr>
      <w:rFonts w:eastAsia="Times New Roman"/>
      <w:color w:val="5A5A5A"/>
      <w:spacing w:val="15"/>
    </w:rPr>
  </w:style>
  <w:style w:type="character" w:customStyle="1" w:styleId="Heading2Char">
    <w:name w:val="Heading 2 Char"/>
    <w:link w:val="Heading2"/>
    <w:uiPriority w:val="9"/>
    <w:rsid w:val="0022080D"/>
    <w:rPr>
      <w:rFonts w:ascii="Calibri Light" w:eastAsia="Times New Roman" w:hAnsi="Calibri Light"/>
      <w:i/>
      <w:color w:val="228A80"/>
      <w:sz w:val="22"/>
      <w:szCs w:val="22"/>
    </w:rPr>
  </w:style>
  <w:style w:type="paragraph" w:styleId="NoSpacing">
    <w:name w:val="No Spacing"/>
    <w:link w:val="NoSpacingChar"/>
    <w:uiPriority w:val="1"/>
    <w:qFormat/>
    <w:rsid w:val="00052AF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2AFB"/>
    <w:rPr>
      <w:rFonts w:eastAsia="Times New Roman"/>
      <w:sz w:val="22"/>
      <w:szCs w:val="22"/>
    </w:rPr>
  </w:style>
  <w:style w:type="paragraph" w:customStyle="1" w:styleId="Sidebar">
    <w:name w:val="Sidebar"/>
    <w:basedOn w:val="Normal"/>
    <w:link w:val="SidebarChar"/>
    <w:qFormat/>
    <w:rsid w:val="00F374D7"/>
    <w:pPr>
      <w:spacing w:before="120" w:after="0" w:line="300" w:lineRule="auto"/>
    </w:pPr>
    <w:rPr>
      <w:b/>
      <w:i/>
      <w:color w:val="228A80"/>
      <w:sz w:val="24"/>
      <w:szCs w:val="30"/>
    </w:rPr>
  </w:style>
  <w:style w:type="numbering" w:customStyle="1" w:styleId="Bulletedlist">
    <w:name w:val="Bulleted list"/>
    <w:uiPriority w:val="99"/>
    <w:rsid w:val="00577195"/>
    <w:pPr>
      <w:numPr>
        <w:numId w:val="1"/>
      </w:numPr>
    </w:pPr>
  </w:style>
  <w:style w:type="character" w:customStyle="1" w:styleId="SidebarChar">
    <w:name w:val="Sidebar Char"/>
    <w:link w:val="Sidebar"/>
    <w:rsid w:val="00F374D7"/>
    <w:rPr>
      <w:b/>
      <w:i/>
      <w:color w:val="228A80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E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229"/>
    <w:pPr>
      <w:spacing w:after="0"/>
      <w:ind w:right="187"/>
      <w:outlineLvl w:val="0"/>
    </w:pPr>
    <w:rPr>
      <w:b/>
      <w:color w:val="228A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80D"/>
    <w:pPr>
      <w:keepNext/>
      <w:keepLines/>
      <w:spacing w:before="40" w:after="0"/>
      <w:outlineLvl w:val="1"/>
    </w:pPr>
    <w:rPr>
      <w:rFonts w:ascii="Calibri Light" w:eastAsia="Times New Roman" w:hAnsi="Calibri Light"/>
      <w:i/>
      <w:color w:val="228A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C5"/>
  </w:style>
  <w:style w:type="paragraph" w:styleId="Footer">
    <w:name w:val="footer"/>
    <w:basedOn w:val="Normal"/>
    <w:link w:val="Foot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C5"/>
  </w:style>
  <w:style w:type="paragraph" w:styleId="Title">
    <w:name w:val="Title"/>
    <w:basedOn w:val="Normal"/>
    <w:next w:val="Normal"/>
    <w:link w:val="TitleChar"/>
    <w:uiPriority w:val="10"/>
    <w:qFormat/>
    <w:rsid w:val="0022080D"/>
    <w:pPr>
      <w:spacing w:after="0" w:line="240" w:lineRule="auto"/>
      <w:contextualSpacing/>
    </w:pPr>
    <w:rPr>
      <w:rFonts w:eastAsia="Times New Roman"/>
      <w:b/>
      <w:color w:val="228A80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22080D"/>
    <w:rPr>
      <w:rFonts w:eastAsia="Times New Roman"/>
      <w:b/>
      <w:color w:val="228A80"/>
      <w:spacing w:val="-10"/>
      <w:kern w:val="28"/>
      <w:sz w:val="40"/>
      <w:szCs w:val="56"/>
    </w:rPr>
  </w:style>
  <w:style w:type="character" w:customStyle="1" w:styleId="Heading1Char">
    <w:name w:val="Heading 1 Char"/>
    <w:link w:val="Heading1"/>
    <w:uiPriority w:val="9"/>
    <w:rsid w:val="00596229"/>
    <w:rPr>
      <w:b/>
      <w:color w:val="228A8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BD440E"/>
    <w:rPr>
      <w:rFonts w:eastAsia="Times New Roman"/>
      <w:color w:val="5A5A5A"/>
      <w:spacing w:val="15"/>
    </w:rPr>
  </w:style>
  <w:style w:type="character" w:customStyle="1" w:styleId="Heading2Char">
    <w:name w:val="Heading 2 Char"/>
    <w:link w:val="Heading2"/>
    <w:uiPriority w:val="9"/>
    <w:rsid w:val="0022080D"/>
    <w:rPr>
      <w:rFonts w:ascii="Calibri Light" w:eastAsia="Times New Roman" w:hAnsi="Calibri Light"/>
      <w:i/>
      <w:color w:val="228A80"/>
      <w:sz w:val="22"/>
      <w:szCs w:val="22"/>
    </w:rPr>
  </w:style>
  <w:style w:type="paragraph" w:styleId="NoSpacing">
    <w:name w:val="No Spacing"/>
    <w:link w:val="NoSpacingChar"/>
    <w:uiPriority w:val="1"/>
    <w:qFormat/>
    <w:rsid w:val="00052AF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2AFB"/>
    <w:rPr>
      <w:rFonts w:eastAsia="Times New Roman"/>
      <w:sz w:val="22"/>
      <w:szCs w:val="22"/>
    </w:rPr>
  </w:style>
  <w:style w:type="paragraph" w:customStyle="1" w:styleId="Sidebar">
    <w:name w:val="Sidebar"/>
    <w:basedOn w:val="Normal"/>
    <w:link w:val="SidebarChar"/>
    <w:qFormat/>
    <w:rsid w:val="00F374D7"/>
    <w:pPr>
      <w:spacing w:before="120" w:after="0" w:line="300" w:lineRule="auto"/>
    </w:pPr>
    <w:rPr>
      <w:b/>
      <w:i/>
      <w:color w:val="228A80"/>
      <w:sz w:val="24"/>
      <w:szCs w:val="30"/>
    </w:rPr>
  </w:style>
  <w:style w:type="numbering" w:customStyle="1" w:styleId="Bulletedlist">
    <w:name w:val="Bulleted list"/>
    <w:uiPriority w:val="99"/>
    <w:rsid w:val="00577195"/>
    <w:pPr>
      <w:numPr>
        <w:numId w:val="1"/>
      </w:numPr>
    </w:pPr>
  </w:style>
  <w:style w:type="character" w:customStyle="1" w:styleId="SidebarChar">
    <w:name w:val="Sidebar Char"/>
    <w:link w:val="Sidebar"/>
    <w:rsid w:val="00F374D7"/>
    <w:rPr>
      <w:b/>
      <w:i/>
      <w:color w:val="228A80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E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HR%20Insights\Use%20This%20One%20-%20HR%20INSIGHTS_NEW%20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 This One - HR INSIGHTS_NEW TEMP.dot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Erik</dc:creator>
  <cp:lastModifiedBy>Patty Clark</cp:lastModifiedBy>
  <cp:revision>2</cp:revision>
  <dcterms:created xsi:type="dcterms:W3CDTF">2018-11-20T12:23:00Z</dcterms:created>
  <dcterms:modified xsi:type="dcterms:W3CDTF">2018-11-20T12:23:00Z</dcterms:modified>
</cp:coreProperties>
</file>